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D1" w:rsidRDefault="003874CA">
      <w:pPr>
        <w:rPr>
          <w:b/>
        </w:rPr>
      </w:pPr>
      <w:r>
        <w:rPr>
          <w:b/>
        </w:rPr>
        <w:t xml:space="preserve">Transferring your HIV care to </w:t>
      </w:r>
      <w:proofErr w:type="spellStart"/>
      <w:r>
        <w:rPr>
          <w:b/>
        </w:rPr>
        <w:t>YorSexualHealth</w:t>
      </w:r>
      <w:proofErr w:type="spellEnd"/>
    </w:p>
    <w:p w:rsidR="003874CA" w:rsidRDefault="00C530E7">
      <w:r>
        <w:t xml:space="preserve">If you would like to transfer your HIV care to </w:t>
      </w:r>
      <w:proofErr w:type="spellStart"/>
      <w:r>
        <w:t>YorSexualHealth</w:t>
      </w:r>
      <w:proofErr w:type="spellEnd"/>
      <w:r>
        <w:t xml:space="preserve">, we will need some information from your current care provider. They should send this information to our HIV service mailbox </w:t>
      </w:r>
      <w:hyperlink r:id="rId6" w:history="1">
        <w:r w:rsidRPr="00490494">
          <w:rPr>
            <w:rStyle w:val="Hyperlink"/>
          </w:rPr>
          <w:t>specialistservice@york.nhs.uk</w:t>
        </w:r>
      </w:hyperlink>
      <w:r>
        <w:t xml:space="preserve"> and cc. secretary </w:t>
      </w:r>
      <w:hyperlink r:id="rId7" w:history="1">
        <w:r w:rsidRPr="00490494">
          <w:rPr>
            <w:rStyle w:val="Hyperlink"/>
          </w:rPr>
          <w:t>lorraine.boyne@nhs.net</w:t>
        </w:r>
      </w:hyperlink>
      <w:r>
        <w:t xml:space="preserve">. </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Date of HIV diagnosis</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Date of most recent negative HIV antibody test</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Nadir CD4 T-cell count with date</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Current CD4 T-cell count and plasma HIV viral load with date</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Vaccination history</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History of HIV-related illnesses</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Staging of HIV infection</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Baseline resistance test result and date</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Subsequent resistance test results with dates</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ART history</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Start date and reason for starting</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Regimen details</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Reason for starting and reason for stopping/switching</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ART</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Side effects</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Toxicity</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Tropism test results with dates</w:t>
      </w:r>
    </w:p>
    <w:p w:rsidR="00453160" w:rsidRPr="00453160" w:rsidRDefault="00453160" w:rsidP="00453160">
      <w:pPr>
        <w:numPr>
          <w:ilvl w:val="0"/>
          <w:numId w:val="1"/>
        </w:numPr>
        <w:spacing w:after="0" w:line="240" w:lineRule="auto"/>
        <w:rPr>
          <w:rFonts w:eastAsia="Times New Roman" w:cstheme="minorHAnsi"/>
        </w:rPr>
      </w:pPr>
      <w:r w:rsidRPr="00453160">
        <w:rPr>
          <w:rFonts w:eastAsia="Times New Roman" w:cstheme="minorHAnsi"/>
        </w:rPr>
        <w:t>HLAB5701 test result</w:t>
      </w:r>
    </w:p>
    <w:p w:rsidR="00384FB9" w:rsidRDefault="00384FB9"/>
    <w:p w:rsidR="00202BBF" w:rsidRDefault="00202BBF">
      <w:r>
        <w:t xml:space="preserve">Please also include any outstanding partner notification issues, information on children who remain untested and any other significant clinical information. </w:t>
      </w:r>
    </w:p>
    <w:p w:rsidR="00453160" w:rsidRDefault="00202BBF">
      <w:r>
        <w:t>Once we have this information from your current service provider, please contact us to let us know your personal details and which clinic you wish to attend (York, Harrogate or Scarborough). We will also need to know how much medication you have left.</w:t>
      </w:r>
      <w:bookmarkStart w:id="0" w:name="_GoBack"/>
      <w:bookmarkEnd w:id="0"/>
    </w:p>
    <w:p w:rsidR="00453160" w:rsidRDefault="00453160" w:rsidP="00453160">
      <w:r>
        <w:t xml:space="preserve">If you have any questions, please contact our HIV team on 01904 725423. </w:t>
      </w:r>
    </w:p>
    <w:p w:rsidR="00453160" w:rsidRPr="003874CA" w:rsidRDefault="00453160"/>
    <w:sectPr w:rsidR="00453160" w:rsidRPr="00387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D1BD0"/>
    <w:multiLevelType w:val="hybridMultilevel"/>
    <w:tmpl w:val="81A40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CA"/>
    <w:rsid w:val="00202BBF"/>
    <w:rsid w:val="00384FB9"/>
    <w:rsid w:val="003874CA"/>
    <w:rsid w:val="00453160"/>
    <w:rsid w:val="00C530E7"/>
    <w:rsid w:val="00EC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0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orraine.boyn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cialistservice@york.nhs.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Wynn</dc:creator>
  <cp:lastModifiedBy>Jess Wynn</cp:lastModifiedBy>
  <cp:revision>5</cp:revision>
  <dcterms:created xsi:type="dcterms:W3CDTF">2021-05-03T12:59:00Z</dcterms:created>
  <dcterms:modified xsi:type="dcterms:W3CDTF">2021-05-03T14:04:00Z</dcterms:modified>
</cp:coreProperties>
</file>